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90" w:rsidRPr="007C6AA4" w:rsidRDefault="00272C90" w:rsidP="007C6AA4">
      <w:pPr>
        <w:ind w:firstLine="709"/>
        <w:contextualSpacing/>
        <w:jc w:val="both"/>
        <w:rPr>
          <w:color w:val="000000" w:themeColor="text1"/>
        </w:rPr>
      </w:pPr>
    </w:p>
    <w:tbl>
      <w:tblPr>
        <w:tblStyle w:val="ae"/>
        <w:tblW w:w="10774" w:type="dxa"/>
        <w:tblInd w:w="-856" w:type="dxa"/>
        <w:tblLook w:val="04A0" w:firstRow="1" w:lastRow="0" w:firstColumn="1" w:lastColumn="0" w:noHBand="0" w:noVBand="1"/>
      </w:tblPr>
      <w:tblGrid>
        <w:gridCol w:w="5529"/>
        <w:gridCol w:w="5245"/>
      </w:tblGrid>
      <w:tr w:rsidR="00116437" w:rsidRPr="005748F7" w:rsidTr="00C51176">
        <w:tc>
          <w:tcPr>
            <w:tcW w:w="5529" w:type="dxa"/>
          </w:tcPr>
          <w:p w:rsidR="00116437" w:rsidRPr="007C6AA4" w:rsidRDefault="00116437" w:rsidP="00116437">
            <w:pPr>
              <w:contextualSpacing/>
              <w:jc w:val="center"/>
              <w:rPr>
                <w:color w:val="000000" w:themeColor="text1"/>
              </w:rPr>
            </w:pPr>
            <w:r w:rsidRPr="007C6AA4">
              <w:rPr>
                <w:color w:val="000000" w:themeColor="text1"/>
              </w:rPr>
              <w:t>О выплате ОАО «Керамин» дивидендов по акциям</w:t>
            </w:r>
          </w:p>
          <w:p w:rsidR="00116437" w:rsidRPr="007C6AA4" w:rsidRDefault="00116437" w:rsidP="00116437">
            <w:pPr>
              <w:ind w:firstLine="709"/>
              <w:contextualSpacing/>
              <w:jc w:val="both"/>
              <w:rPr>
                <w:color w:val="000000" w:themeColor="text1"/>
              </w:rPr>
            </w:pPr>
          </w:p>
          <w:p w:rsidR="00116437" w:rsidRPr="007C6AA4" w:rsidRDefault="00116437" w:rsidP="00116437">
            <w:pPr>
              <w:ind w:firstLine="709"/>
              <w:contextualSpacing/>
              <w:jc w:val="both"/>
              <w:rPr>
                <w:color w:val="000000" w:themeColor="text1"/>
              </w:rPr>
            </w:pPr>
            <w:r w:rsidRPr="007C6AA4">
              <w:rPr>
                <w:color w:val="000000" w:themeColor="text1"/>
              </w:rPr>
              <w:t xml:space="preserve">Руководствуясь ст. 56 Закона Республики Беларусь от 5 января 2015 г. № 231-З «О рынке ценных бумаг», подпунктом 16.4. Инструкции о порядке раскрытия информации на рынке ценных бумаг, утвержденной постановлением Министерства финансов Республики Беларусь от 13.06.2016 № 43, открытое акционерное общество «Керамин» (эмитент), местонахождение: 220024, г. Минск, ул. Серова, 22, комн. 1, сообщает, что годовым общим собранием акционеров </w:t>
            </w:r>
            <w:r w:rsidRPr="00BD17D3">
              <w:rPr>
                <w:color w:val="000000" w:themeColor="text1"/>
              </w:rPr>
              <w:t>29.03.2019 (протокол № 53) принято решение о выплате дивидендов за 2018 год.</w:t>
            </w:r>
          </w:p>
          <w:p w:rsidR="00116437" w:rsidRPr="00BD17D3" w:rsidRDefault="00116437" w:rsidP="00116437">
            <w:pPr>
              <w:ind w:firstLine="709"/>
              <w:contextualSpacing/>
              <w:jc w:val="both"/>
              <w:rPr>
                <w:color w:val="000000" w:themeColor="text1"/>
              </w:rPr>
            </w:pPr>
            <w:r w:rsidRPr="00BD17D3">
              <w:rPr>
                <w:color w:val="000000" w:themeColor="text1"/>
              </w:rPr>
              <w:t>Выплату дивидендов акционерам ОАО «Керамин» по результатам работы Общества за 2018 год производить из расчета 2,15 (два рубля 15 копеек) рубля на одну простую (обыкновенную) акцию.</w:t>
            </w:r>
          </w:p>
          <w:p w:rsidR="00116437" w:rsidRPr="00BD17D3" w:rsidRDefault="00116437" w:rsidP="00116437">
            <w:pPr>
              <w:ind w:firstLine="709"/>
              <w:contextualSpacing/>
              <w:jc w:val="both"/>
              <w:rPr>
                <w:color w:val="000000" w:themeColor="text1"/>
              </w:rPr>
            </w:pPr>
            <w:r w:rsidRPr="00BD17D3">
              <w:rPr>
                <w:color w:val="000000" w:themeColor="text1"/>
              </w:rPr>
              <w:t>Привилегированные акции ОАО «Керамин» не выпускались.</w:t>
            </w:r>
          </w:p>
          <w:p w:rsidR="00116437" w:rsidRPr="00BD17D3" w:rsidRDefault="00116437" w:rsidP="00116437">
            <w:pPr>
              <w:ind w:firstLine="709"/>
              <w:contextualSpacing/>
              <w:jc w:val="both"/>
              <w:rPr>
                <w:color w:val="000000" w:themeColor="text1"/>
              </w:rPr>
            </w:pPr>
            <w:r w:rsidRPr="00BD17D3">
              <w:rPr>
                <w:color w:val="000000" w:themeColor="text1"/>
              </w:rPr>
              <w:t>Срок и порядок выплаты дивидендов по акциям - путем зачисления средств на счета акционеров Общества в срок по 22 апреля 2019 г.</w:t>
            </w:r>
          </w:p>
          <w:p w:rsidR="00116437" w:rsidRDefault="00116437" w:rsidP="00116437">
            <w:pPr>
              <w:contextualSpacing/>
              <w:jc w:val="both"/>
              <w:rPr>
                <w:color w:val="000000" w:themeColor="text1"/>
              </w:rPr>
            </w:pPr>
            <w:r w:rsidRPr="00BD17D3">
              <w:rPr>
                <w:color w:val="000000" w:themeColor="text1"/>
              </w:rPr>
              <w:t>Комиссионное вознаграждение обслуживающим банкам за перечисление и зачисление средств на счета акционеров Общества произвести за счет средств остатка фонда потребления.</w:t>
            </w:r>
          </w:p>
        </w:tc>
        <w:tc>
          <w:tcPr>
            <w:tcW w:w="5245" w:type="dxa"/>
          </w:tcPr>
          <w:p w:rsidR="00C51176" w:rsidRPr="00C51176" w:rsidRDefault="00C51176" w:rsidP="00C51176">
            <w:pPr>
              <w:contextualSpacing/>
              <w:jc w:val="both"/>
              <w:rPr>
                <w:color w:val="000000" w:themeColor="text1"/>
                <w:lang w:val="en-US"/>
              </w:rPr>
            </w:pPr>
            <w:r w:rsidRPr="00C51176">
              <w:rPr>
                <w:color w:val="000000" w:themeColor="text1"/>
                <w:lang w:val="en-US"/>
              </w:rPr>
              <w:t>Dividend payments on equity issues by Keramin JSC</w:t>
            </w:r>
          </w:p>
          <w:p w:rsidR="00C51176" w:rsidRPr="00C51176" w:rsidRDefault="00C51176" w:rsidP="00C51176">
            <w:pPr>
              <w:contextualSpacing/>
              <w:jc w:val="both"/>
              <w:rPr>
                <w:color w:val="000000" w:themeColor="text1"/>
                <w:lang w:val="en-US"/>
              </w:rPr>
            </w:pPr>
          </w:p>
          <w:p w:rsidR="00C51176" w:rsidRPr="00C51176" w:rsidRDefault="00C51176" w:rsidP="00C51176">
            <w:pPr>
              <w:contextualSpacing/>
              <w:jc w:val="both"/>
              <w:rPr>
                <w:color w:val="000000" w:themeColor="text1"/>
                <w:lang w:val="en-US"/>
              </w:rPr>
            </w:pPr>
            <w:r w:rsidRPr="00C51176">
              <w:rPr>
                <w:color w:val="000000" w:themeColor="text1"/>
                <w:lang w:val="en-US"/>
              </w:rPr>
              <w:t>On the basis of Article 56 of the Law of the Republic of Belarus dated January 5, 2015 No. 231-</w:t>
            </w:r>
            <w:r w:rsidR="005748F7">
              <w:rPr>
                <w:color w:val="000000" w:themeColor="text1"/>
                <w:lang w:val="en-US"/>
              </w:rPr>
              <w:t>Z</w:t>
            </w:r>
            <w:bookmarkStart w:id="0" w:name="_GoBack"/>
            <w:bookmarkEnd w:id="0"/>
            <w:r w:rsidRPr="00C51176">
              <w:rPr>
                <w:color w:val="000000" w:themeColor="text1"/>
                <w:lang w:val="en-US"/>
              </w:rPr>
              <w:t xml:space="preserve"> “Concerning the Securities Market”, sub-paragraph 16.4. of the Instruction on the procedure for disclosure of information on the securities market, approved by decree of the Ministry of Finance of the Republic of Belarus dated June 13, 2016 No. 43, Keramin JSC (issuer), location: 220024, Minsk, Serova str., 22, office 1, reports that the Annual General Mee</w:t>
            </w:r>
            <w:r w:rsidR="00602384">
              <w:rPr>
                <w:color w:val="000000" w:themeColor="text1"/>
                <w:lang w:val="en-US"/>
              </w:rPr>
              <w:t>ting of Shareholders on March 29, 2019 (protocol No. 53</w:t>
            </w:r>
            <w:r w:rsidRPr="00C51176">
              <w:rPr>
                <w:color w:val="000000" w:themeColor="text1"/>
                <w:lang w:val="en-US"/>
              </w:rPr>
              <w:t>) d</w:t>
            </w:r>
            <w:r w:rsidR="00602384">
              <w:rPr>
                <w:color w:val="000000" w:themeColor="text1"/>
                <w:lang w:val="en-US"/>
              </w:rPr>
              <w:t>ecided to pay dividends for 2018</w:t>
            </w:r>
            <w:r w:rsidRPr="00C51176">
              <w:rPr>
                <w:color w:val="000000" w:themeColor="text1"/>
                <w:lang w:val="en-US"/>
              </w:rPr>
              <w:t>.</w:t>
            </w:r>
          </w:p>
          <w:p w:rsidR="00602384" w:rsidRDefault="00602384" w:rsidP="00C51176">
            <w:pPr>
              <w:contextualSpacing/>
              <w:jc w:val="both"/>
              <w:rPr>
                <w:color w:val="000000" w:themeColor="text1"/>
                <w:lang w:val="en-US"/>
              </w:rPr>
            </w:pPr>
          </w:p>
          <w:p w:rsidR="00C51176" w:rsidRDefault="00C51176" w:rsidP="00C51176">
            <w:pPr>
              <w:contextualSpacing/>
              <w:jc w:val="both"/>
              <w:rPr>
                <w:color w:val="000000" w:themeColor="text1"/>
                <w:lang w:val="en-US"/>
              </w:rPr>
            </w:pPr>
            <w:r w:rsidRPr="00C51176">
              <w:rPr>
                <w:color w:val="000000" w:themeColor="text1"/>
                <w:lang w:val="en-US"/>
              </w:rPr>
              <w:t>According to the result</w:t>
            </w:r>
            <w:r w:rsidR="00BD17D3">
              <w:rPr>
                <w:color w:val="000000" w:themeColor="text1"/>
                <w:lang w:val="en-US"/>
              </w:rPr>
              <w:t>s of the Company’s work for 2018</w:t>
            </w:r>
            <w:r w:rsidRPr="00C51176">
              <w:rPr>
                <w:color w:val="000000" w:themeColor="text1"/>
                <w:lang w:val="en-US"/>
              </w:rPr>
              <w:t>, dividends to shareholders of Keramin JSC</w:t>
            </w:r>
            <w:r w:rsidR="00BD17D3">
              <w:rPr>
                <w:color w:val="000000" w:themeColor="text1"/>
                <w:lang w:val="en-US"/>
              </w:rPr>
              <w:t xml:space="preserve"> should be paid at the rate of 2,15 (two rubles 15</w:t>
            </w:r>
            <w:r w:rsidRPr="00C51176">
              <w:rPr>
                <w:color w:val="000000" w:themeColor="text1"/>
                <w:lang w:val="en-US"/>
              </w:rPr>
              <w:t xml:space="preserve"> kopecks) rubles per one ordinary (sim</w:t>
            </w:r>
            <w:r w:rsidR="00BD17D3">
              <w:rPr>
                <w:color w:val="000000" w:themeColor="text1"/>
                <w:lang w:val="en-US"/>
              </w:rPr>
              <w:t>p</w:t>
            </w:r>
            <w:r w:rsidRPr="00C51176">
              <w:rPr>
                <w:color w:val="000000" w:themeColor="text1"/>
                <w:lang w:val="en-US"/>
              </w:rPr>
              <w:t>le) share.</w:t>
            </w:r>
          </w:p>
          <w:p w:rsidR="00C51176" w:rsidRDefault="00C51176" w:rsidP="00C51176">
            <w:pPr>
              <w:contextualSpacing/>
              <w:jc w:val="both"/>
              <w:rPr>
                <w:color w:val="000000" w:themeColor="text1"/>
                <w:lang w:val="en-US"/>
              </w:rPr>
            </w:pPr>
          </w:p>
          <w:p w:rsidR="00C51176" w:rsidRPr="00C51176" w:rsidRDefault="00C51176" w:rsidP="00C51176">
            <w:pPr>
              <w:contextualSpacing/>
              <w:jc w:val="both"/>
              <w:rPr>
                <w:color w:val="000000" w:themeColor="text1"/>
                <w:lang w:val="en-US"/>
              </w:rPr>
            </w:pPr>
            <w:r w:rsidRPr="00C51176">
              <w:rPr>
                <w:color w:val="000000" w:themeColor="text1"/>
                <w:lang w:val="en-US"/>
              </w:rPr>
              <w:t>Preferred shares of Keramin JSC were not issued.</w:t>
            </w:r>
          </w:p>
          <w:p w:rsidR="00C51176" w:rsidRPr="00C51176" w:rsidRDefault="00C51176" w:rsidP="00C51176">
            <w:pPr>
              <w:contextualSpacing/>
              <w:jc w:val="both"/>
              <w:rPr>
                <w:color w:val="000000" w:themeColor="text1"/>
                <w:lang w:val="en-US"/>
              </w:rPr>
            </w:pPr>
          </w:p>
          <w:p w:rsidR="00C51176" w:rsidRPr="00C51176" w:rsidRDefault="00C51176" w:rsidP="00C51176">
            <w:pPr>
              <w:contextualSpacing/>
              <w:jc w:val="both"/>
              <w:rPr>
                <w:color w:val="000000" w:themeColor="text1"/>
                <w:lang w:val="en-US"/>
              </w:rPr>
            </w:pPr>
            <w:r w:rsidRPr="00C51176">
              <w:rPr>
                <w:color w:val="000000" w:themeColor="text1"/>
                <w:lang w:val="en-US"/>
              </w:rPr>
              <w:t>The term and procedure for the payment of dividends on shares – by credit of the funds to the accounts of the shareho</w:t>
            </w:r>
            <w:r w:rsidR="00BD17D3">
              <w:rPr>
                <w:color w:val="000000" w:themeColor="text1"/>
                <w:lang w:val="en-US"/>
              </w:rPr>
              <w:t>lders of the Company by April 22, 2019</w:t>
            </w:r>
            <w:r w:rsidRPr="00C51176">
              <w:rPr>
                <w:color w:val="000000" w:themeColor="text1"/>
                <w:lang w:val="en-US"/>
              </w:rPr>
              <w:t>.</w:t>
            </w:r>
          </w:p>
          <w:p w:rsidR="00116437" w:rsidRPr="00C51176" w:rsidRDefault="00C51176" w:rsidP="00C51176">
            <w:pPr>
              <w:contextualSpacing/>
              <w:jc w:val="both"/>
              <w:rPr>
                <w:color w:val="000000" w:themeColor="text1"/>
                <w:lang w:val="en-US"/>
              </w:rPr>
            </w:pPr>
            <w:r w:rsidRPr="00C51176">
              <w:rPr>
                <w:color w:val="000000" w:themeColor="text1"/>
                <w:lang w:val="en-US"/>
              </w:rPr>
              <w:t>The commission fee to servicing banks for transfer and credit of funds to the accounts of the shareholders of the Company should be paid from the balance of the consumption fund.</w:t>
            </w:r>
          </w:p>
        </w:tc>
      </w:tr>
    </w:tbl>
    <w:p w:rsidR="00272C90" w:rsidRPr="00C51176" w:rsidRDefault="00272C90" w:rsidP="007C6AA4">
      <w:pPr>
        <w:contextualSpacing/>
        <w:jc w:val="both"/>
        <w:rPr>
          <w:color w:val="000000" w:themeColor="text1"/>
          <w:lang w:val="en-US"/>
        </w:rPr>
      </w:pPr>
    </w:p>
    <w:sectPr w:rsidR="00272C90" w:rsidRPr="00C51176" w:rsidSect="003750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7E" w:rsidRDefault="003D1C7E">
      <w:r>
        <w:separator/>
      </w:r>
    </w:p>
  </w:endnote>
  <w:endnote w:type="continuationSeparator" w:id="0">
    <w:p w:rsidR="003D1C7E" w:rsidRDefault="003D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7E" w:rsidRDefault="003D1C7E">
      <w:r>
        <w:separator/>
      </w:r>
    </w:p>
  </w:footnote>
  <w:footnote w:type="continuationSeparator" w:id="0">
    <w:p w:rsidR="003D1C7E" w:rsidRDefault="003D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21.5pt" o:bullet="t">
        <v:imagedata r:id="rId1" o:title=""/>
      </v:shape>
    </w:pict>
  </w:numPicBullet>
  <w:abstractNum w:abstractNumId="0" w15:restartNumberingAfterBreak="0">
    <w:nsid w:val="09C2052E"/>
    <w:multiLevelType w:val="hybridMultilevel"/>
    <w:tmpl w:val="F26E033E"/>
    <w:lvl w:ilvl="0" w:tplc="463E2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825728"/>
    <w:multiLevelType w:val="hybridMultilevel"/>
    <w:tmpl w:val="1DF0C8E8"/>
    <w:lvl w:ilvl="0" w:tplc="96C6A0E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423F8B"/>
    <w:multiLevelType w:val="hybridMultilevel"/>
    <w:tmpl w:val="E95E77F0"/>
    <w:lvl w:ilvl="0" w:tplc="491E8D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FC4004"/>
    <w:multiLevelType w:val="hybridMultilevel"/>
    <w:tmpl w:val="7D18845E"/>
    <w:lvl w:ilvl="0" w:tplc="EA708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AB0F9A"/>
    <w:multiLevelType w:val="hybridMultilevel"/>
    <w:tmpl w:val="2FD8D322"/>
    <w:lvl w:ilvl="0" w:tplc="7A2A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72762F"/>
    <w:multiLevelType w:val="hybridMultilevel"/>
    <w:tmpl w:val="567C5CE6"/>
    <w:lvl w:ilvl="0" w:tplc="F7E6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E26796"/>
    <w:multiLevelType w:val="hybridMultilevel"/>
    <w:tmpl w:val="7402E310"/>
    <w:lvl w:ilvl="0" w:tplc="1BA8437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C133758"/>
    <w:multiLevelType w:val="hybridMultilevel"/>
    <w:tmpl w:val="7D18845E"/>
    <w:lvl w:ilvl="0" w:tplc="EA708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31"/>
    <w:rsid w:val="00002CB0"/>
    <w:rsid w:val="00013268"/>
    <w:rsid w:val="00021038"/>
    <w:rsid w:val="000545A3"/>
    <w:rsid w:val="00060067"/>
    <w:rsid w:val="0006706F"/>
    <w:rsid w:val="0007621D"/>
    <w:rsid w:val="00097E22"/>
    <w:rsid w:val="000B455F"/>
    <w:rsid w:val="000C15EB"/>
    <w:rsid w:val="000E6681"/>
    <w:rsid w:val="000F3004"/>
    <w:rsid w:val="0010565E"/>
    <w:rsid w:val="00116437"/>
    <w:rsid w:val="00132E30"/>
    <w:rsid w:val="00134549"/>
    <w:rsid w:val="001403B5"/>
    <w:rsid w:val="00142748"/>
    <w:rsid w:val="001761B1"/>
    <w:rsid w:val="0018154B"/>
    <w:rsid w:val="00181CA1"/>
    <w:rsid w:val="00185EEA"/>
    <w:rsid w:val="001B2E3F"/>
    <w:rsid w:val="001C4F32"/>
    <w:rsid w:val="001C7AE7"/>
    <w:rsid w:val="001D4D12"/>
    <w:rsid w:val="001E3730"/>
    <w:rsid w:val="00204C4D"/>
    <w:rsid w:val="002055D5"/>
    <w:rsid w:val="00232C75"/>
    <w:rsid w:val="00260AD3"/>
    <w:rsid w:val="00272C90"/>
    <w:rsid w:val="0029503B"/>
    <w:rsid w:val="0029787C"/>
    <w:rsid w:val="002B0F67"/>
    <w:rsid w:val="002B57C8"/>
    <w:rsid w:val="002B5C73"/>
    <w:rsid w:val="002C1082"/>
    <w:rsid w:val="002C4766"/>
    <w:rsid w:val="002C6D7B"/>
    <w:rsid w:val="002D4C9C"/>
    <w:rsid w:val="002E7C87"/>
    <w:rsid w:val="002F44F7"/>
    <w:rsid w:val="002F5882"/>
    <w:rsid w:val="00307F19"/>
    <w:rsid w:val="00333F86"/>
    <w:rsid w:val="003367C0"/>
    <w:rsid w:val="00336F65"/>
    <w:rsid w:val="003543E6"/>
    <w:rsid w:val="00375080"/>
    <w:rsid w:val="00375A45"/>
    <w:rsid w:val="003818FA"/>
    <w:rsid w:val="003B24AA"/>
    <w:rsid w:val="003D1C7E"/>
    <w:rsid w:val="003D4F9C"/>
    <w:rsid w:val="003E22D6"/>
    <w:rsid w:val="00400BF9"/>
    <w:rsid w:val="00401363"/>
    <w:rsid w:val="0041375E"/>
    <w:rsid w:val="004475A4"/>
    <w:rsid w:val="004842D0"/>
    <w:rsid w:val="004C401C"/>
    <w:rsid w:val="004C7423"/>
    <w:rsid w:val="004F1A35"/>
    <w:rsid w:val="0050283C"/>
    <w:rsid w:val="00507114"/>
    <w:rsid w:val="00562074"/>
    <w:rsid w:val="00566FF3"/>
    <w:rsid w:val="005748F7"/>
    <w:rsid w:val="00574B08"/>
    <w:rsid w:val="00586BE1"/>
    <w:rsid w:val="005A20FC"/>
    <w:rsid w:val="005A5C3E"/>
    <w:rsid w:val="005B3B5F"/>
    <w:rsid w:val="00602384"/>
    <w:rsid w:val="00623966"/>
    <w:rsid w:val="00636961"/>
    <w:rsid w:val="00645F8A"/>
    <w:rsid w:val="00654F24"/>
    <w:rsid w:val="00660204"/>
    <w:rsid w:val="00664FC3"/>
    <w:rsid w:val="00665C15"/>
    <w:rsid w:val="006663E2"/>
    <w:rsid w:val="006B2049"/>
    <w:rsid w:val="006E0C65"/>
    <w:rsid w:val="006E44B6"/>
    <w:rsid w:val="006F6B35"/>
    <w:rsid w:val="00701F03"/>
    <w:rsid w:val="007C6AA4"/>
    <w:rsid w:val="00832FB8"/>
    <w:rsid w:val="008360F1"/>
    <w:rsid w:val="00842059"/>
    <w:rsid w:val="00853992"/>
    <w:rsid w:val="0088303D"/>
    <w:rsid w:val="008860C7"/>
    <w:rsid w:val="008B6871"/>
    <w:rsid w:val="008D354E"/>
    <w:rsid w:val="008F5566"/>
    <w:rsid w:val="0091239C"/>
    <w:rsid w:val="009326DA"/>
    <w:rsid w:val="00933205"/>
    <w:rsid w:val="009932C8"/>
    <w:rsid w:val="009B1923"/>
    <w:rsid w:val="009B22F9"/>
    <w:rsid w:val="009B417D"/>
    <w:rsid w:val="009B62E2"/>
    <w:rsid w:val="009E1370"/>
    <w:rsid w:val="00A02A1B"/>
    <w:rsid w:val="00A213D9"/>
    <w:rsid w:val="00A220E7"/>
    <w:rsid w:val="00A24F92"/>
    <w:rsid w:val="00A25A8E"/>
    <w:rsid w:val="00A26BE0"/>
    <w:rsid w:val="00A37F27"/>
    <w:rsid w:val="00A46A57"/>
    <w:rsid w:val="00A505EA"/>
    <w:rsid w:val="00A60BE3"/>
    <w:rsid w:val="00AC351E"/>
    <w:rsid w:val="00AC650F"/>
    <w:rsid w:val="00AD181A"/>
    <w:rsid w:val="00AF4875"/>
    <w:rsid w:val="00AF5DA8"/>
    <w:rsid w:val="00B02B1E"/>
    <w:rsid w:val="00B23E5A"/>
    <w:rsid w:val="00B2539C"/>
    <w:rsid w:val="00B2554C"/>
    <w:rsid w:val="00B26176"/>
    <w:rsid w:val="00B350B1"/>
    <w:rsid w:val="00B473B0"/>
    <w:rsid w:val="00B548A7"/>
    <w:rsid w:val="00B55137"/>
    <w:rsid w:val="00B651DA"/>
    <w:rsid w:val="00B7621F"/>
    <w:rsid w:val="00B7765D"/>
    <w:rsid w:val="00BB1204"/>
    <w:rsid w:val="00BB268C"/>
    <w:rsid w:val="00BC27EA"/>
    <w:rsid w:val="00BD17D3"/>
    <w:rsid w:val="00BD3DC2"/>
    <w:rsid w:val="00C107B6"/>
    <w:rsid w:val="00C347FF"/>
    <w:rsid w:val="00C51176"/>
    <w:rsid w:val="00C5154E"/>
    <w:rsid w:val="00C53EB9"/>
    <w:rsid w:val="00C6300B"/>
    <w:rsid w:val="00CB169A"/>
    <w:rsid w:val="00CD79AB"/>
    <w:rsid w:val="00CE2A91"/>
    <w:rsid w:val="00CF4040"/>
    <w:rsid w:val="00D004D6"/>
    <w:rsid w:val="00D12CD3"/>
    <w:rsid w:val="00D867D4"/>
    <w:rsid w:val="00DA6452"/>
    <w:rsid w:val="00DB28E0"/>
    <w:rsid w:val="00DB7831"/>
    <w:rsid w:val="00DC161F"/>
    <w:rsid w:val="00DF0527"/>
    <w:rsid w:val="00DF5CDC"/>
    <w:rsid w:val="00DF6D93"/>
    <w:rsid w:val="00E01C82"/>
    <w:rsid w:val="00E059AE"/>
    <w:rsid w:val="00E21936"/>
    <w:rsid w:val="00E45BF3"/>
    <w:rsid w:val="00E5345D"/>
    <w:rsid w:val="00E536C3"/>
    <w:rsid w:val="00E55AE9"/>
    <w:rsid w:val="00E80FE2"/>
    <w:rsid w:val="00E830F6"/>
    <w:rsid w:val="00EC190F"/>
    <w:rsid w:val="00EC3124"/>
    <w:rsid w:val="00EF227A"/>
    <w:rsid w:val="00F04950"/>
    <w:rsid w:val="00F061ED"/>
    <w:rsid w:val="00F34EF9"/>
    <w:rsid w:val="00F51D4F"/>
    <w:rsid w:val="00F52B9F"/>
    <w:rsid w:val="00F62BBD"/>
    <w:rsid w:val="00F66970"/>
    <w:rsid w:val="00F87D52"/>
    <w:rsid w:val="00F905B2"/>
    <w:rsid w:val="00F93F31"/>
    <w:rsid w:val="00FA3031"/>
    <w:rsid w:val="00FA6598"/>
    <w:rsid w:val="00FC70B0"/>
    <w:rsid w:val="00FC79F8"/>
    <w:rsid w:val="00FD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20F64"/>
  <w15:docId w15:val="{A792A60E-D625-4463-8C28-1CCA1E9F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D5"/>
    <w:rPr>
      <w:sz w:val="24"/>
      <w:szCs w:val="24"/>
    </w:rPr>
  </w:style>
  <w:style w:type="paragraph" w:styleId="1">
    <w:name w:val="heading 1"/>
    <w:basedOn w:val="a"/>
    <w:next w:val="a"/>
    <w:qFormat/>
    <w:rsid w:val="002055D5"/>
    <w:pPr>
      <w:keepNext/>
      <w:ind w:hanging="540"/>
      <w:jc w:val="center"/>
      <w:outlineLvl w:val="0"/>
    </w:pPr>
    <w:rPr>
      <w:b/>
      <w:color w:val="808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55D5"/>
    <w:pPr>
      <w:ind w:right="98"/>
      <w:jc w:val="center"/>
    </w:pPr>
    <w:rPr>
      <w:b/>
      <w:bCs/>
      <w:color w:val="808080"/>
    </w:rPr>
  </w:style>
  <w:style w:type="paragraph" w:styleId="a4">
    <w:name w:val="Subtitle"/>
    <w:basedOn w:val="a"/>
    <w:qFormat/>
    <w:rsid w:val="002055D5"/>
    <w:pPr>
      <w:ind w:left="-720" w:firstLine="180"/>
      <w:jc w:val="center"/>
    </w:pPr>
    <w:rPr>
      <w:b/>
      <w:color w:val="666699"/>
      <w:sz w:val="22"/>
      <w:szCs w:val="22"/>
    </w:rPr>
  </w:style>
  <w:style w:type="paragraph" w:styleId="a5">
    <w:name w:val="header"/>
    <w:basedOn w:val="a"/>
    <w:rsid w:val="00D867D4"/>
    <w:pPr>
      <w:tabs>
        <w:tab w:val="center" w:pos="4677"/>
        <w:tab w:val="right" w:pos="9355"/>
      </w:tabs>
    </w:pPr>
  </w:style>
  <w:style w:type="paragraph" w:styleId="a6">
    <w:name w:val="footer"/>
    <w:basedOn w:val="a"/>
    <w:rsid w:val="00D867D4"/>
    <w:pPr>
      <w:tabs>
        <w:tab w:val="center" w:pos="4677"/>
        <w:tab w:val="right" w:pos="9355"/>
      </w:tabs>
    </w:pPr>
  </w:style>
  <w:style w:type="paragraph" w:styleId="a7">
    <w:name w:val="Balloon Text"/>
    <w:basedOn w:val="a"/>
    <w:link w:val="a8"/>
    <w:rsid w:val="00DA6452"/>
    <w:rPr>
      <w:rFonts w:ascii="Tahoma" w:hAnsi="Tahoma" w:cs="Tahoma"/>
      <w:sz w:val="16"/>
      <w:szCs w:val="16"/>
    </w:rPr>
  </w:style>
  <w:style w:type="character" w:customStyle="1" w:styleId="a8">
    <w:name w:val="Текст выноски Знак"/>
    <w:basedOn w:val="a0"/>
    <w:link w:val="a7"/>
    <w:rsid w:val="00DA6452"/>
    <w:rPr>
      <w:rFonts w:ascii="Tahoma" w:hAnsi="Tahoma" w:cs="Tahoma"/>
      <w:sz w:val="16"/>
      <w:szCs w:val="16"/>
    </w:rPr>
  </w:style>
  <w:style w:type="character" w:styleId="a9">
    <w:name w:val="annotation reference"/>
    <w:basedOn w:val="a0"/>
    <w:rsid w:val="00DA6452"/>
    <w:rPr>
      <w:sz w:val="16"/>
      <w:szCs w:val="16"/>
    </w:rPr>
  </w:style>
  <w:style w:type="paragraph" w:styleId="aa">
    <w:name w:val="annotation text"/>
    <w:basedOn w:val="a"/>
    <w:link w:val="ab"/>
    <w:rsid w:val="00DA6452"/>
    <w:rPr>
      <w:sz w:val="20"/>
      <w:szCs w:val="20"/>
    </w:rPr>
  </w:style>
  <w:style w:type="character" w:customStyle="1" w:styleId="ab">
    <w:name w:val="Текст примечания Знак"/>
    <w:basedOn w:val="a0"/>
    <w:link w:val="aa"/>
    <w:rsid w:val="00DA6452"/>
  </w:style>
  <w:style w:type="paragraph" w:styleId="ac">
    <w:name w:val="annotation subject"/>
    <w:basedOn w:val="aa"/>
    <w:next w:val="aa"/>
    <w:link w:val="ad"/>
    <w:rsid w:val="00DA6452"/>
    <w:rPr>
      <w:b/>
      <w:bCs/>
    </w:rPr>
  </w:style>
  <w:style w:type="character" w:customStyle="1" w:styleId="ad">
    <w:name w:val="Тема примечания Знак"/>
    <w:basedOn w:val="ab"/>
    <w:link w:val="ac"/>
    <w:rsid w:val="00DA6452"/>
    <w:rPr>
      <w:b/>
      <w:bCs/>
    </w:rPr>
  </w:style>
  <w:style w:type="paragraph" w:customStyle="1" w:styleId="ConsPlusNonformat">
    <w:name w:val="ConsPlusNonformat"/>
    <w:rsid w:val="00F66970"/>
    <w:pPr>
      <w:widowControl w:val="0"/>
      <w:autoSpaceDE w:val="0"/>
      <w:autoSpaceDN w:val="0"/>
      <w:adjustRightInd w:val="0"/>
    </w:pPr>
    <w:rPr>
      <w:rFonts w:ascii="Courier New" w:hAnsi="Courier New" w:cs="Courier New"/>
    </w:rPr>
  </w:style>
  <w:style w:type="table" w:styleId="ae">
    <w:name w:val="Table Grid"/>
    <w:basedOn w:val="a1"/>
    <w:rsid w:val="00B5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42059"/>
    <w:rPr>
      <w:color w:val="0000FF" w:themeColor="hyperlink"/>
      <w:u w:val="single"/>
    </w:rPr>
  </w:style>
  <w:style w:type="character" w:styleId="af0">
    <w:name w:val="FollowedHyperlink"/>
    <w:basedOn w:val="a0"/>
    <w:semiHidden/>
    <w:unhideWhenUsed/>
    <w:rsid w:val="004475A4"/>
    <w:rPr>
      <w:color w:val="800080" w:themeColor="followedHyperlink"/>
      <w:u w:val="single"/>
    </w:rPr>
  </w:style>
  <w:style w:type="paragraph" w:styleId="af1">
    <w:name w:val="No Spacing"/>
    <w:uiPriority w:val="99"/>
    <w:qFormat/>
    <w:rsid w:val="00375080"/>
    <w:rPr>
      <w:rFonts w:ascii="Calibri" w:hAnsi="Calibri" w:cs="Calibri"/>
      <w:sz w:val="22"/>
      <w:szCs w:val="22"/>
    </w:rPr>
  </w:style>
  <w:style w:type="paragraph" w:styleId="af2">
    <w:name w:val="List Paragraph"/>
    <w:basedOn w:val="a"/>
    <w:uiPriority w:val="99"/>
    <w:qFormat/>
    <w:rsid w:val="00DF0527"/>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656">
      <w:bodyDiv w:val="1"/>
      <w:marLeft w:val="0"/>
      <w:marRight w:val="0"/>
      <w:marTop w:val="0"/>
      <w:marBottom w:val="0"/>
      <w:divBdr>
        <w:top w:val="none" w:sz="0" w:space="0" w:color="auto"/>
        <w:left w:val="none" w:sz="0" w:space="0" w:color="auto"/>
        <w:bottom w:val="none" w:sz="0" w:space="0" w:color="auto"/>
        <w:right w:val="none" w:sz="0" w:space="0" w:color="auto"/>
      </w:divBdr>
    </w:div>
    <w:div w:id="633483066">
      <w:bodyDiv w:val="1"/>
      <w:marLeft w:val="0"/>
      <w:marRight w:val="0"/>
      <w:marTop w:val="0"/>
      <w:marBottom w:val="0"/>
      <w:divBdr>
        <w:top w:val="none" w:sz="0" w:space="0" w:color="auto"/>
        <w:left w:val="none" w:sz="0" w:space="0" w:color="auto"/>
        <w:bottom w:val="none" w:sz="0" w:space="0" w:color="auto"/>
        <w:right w:val="none" w:sz="0" w:space="0" w:color="auto"/>
      </w:divBdr>
    </w:div>
    <w:div w:id="14288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1E904-962B-4290-8B9D-2088981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Бланк1</vt:lpstr>
    </vt:vector>
  </TitlesOfParts>
  <Company>keramin</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Бланк1</dc:title>
  <dc:subject/>
  <dc:creator>GalitsynAV</dc:creator>
  <cp:keywords/>
  <dc:description/>
  <cp:lastModifiedBy>Садовская Анна Дмитриевна</cp:lastModifiedBy>
  <cp:revision>6</cp:revision>
  <cp:lastPrinted>2016-08-11T07:53:00Z</cp:lastPrinted>
  <dcterms:created xsi:type="dcterms:W3CDTF">2019-04-03T11:01:00Z</dcterms:created>
  <dcterms:modified xsi:type="dcterms:W3CDTF">2020-01-08T12:48:00Z</dcterms:modified>
</cp:coreProperties>
</file>